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F8" w:rsidRDefault="00247A54">
      <w:pPr>
        <w:rPr>
          <w:b/>
          <w:sz w:val="36"/>
        </w:rPr>
      </w:pPr>
      <w:bookmarkStart w:id="0" w:name="_GoBack"/>
      <w:bookmarkEnd w:id="0"/>
      <w:r w:rsidRPr="00247A54">
        <w:rPr>
          <w:b/>
          <w:sz w:val="36"/>
        </w:rPr>
        <w:t>Godt nytt år alle sammen</w:t>
      </w:r>
    </w:p>
    <w:p w:rsidR="00D31CD0" w:rsidRDefault="00E265ED">
      <w:pPr>
        <w:rPr>
          <w:b/>
          <w:sz w:val="24"/>
        </w:rPr>
      </w:pPr>
      <w:r>
        <w:rPr>
          <w:b/>
          <w:sz w:val="24"/>
        </w:rPr>
        <w:t>Til</w:t>
      </w:r>
    </w:p>
    <w:p w:rsidR="00E265ED" w:rsidRDefault="00E265E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 enhetsledere</w:t>
      </w:r>
    </w:p>
    <w:p w:rsidR="00E265ED" w:rsidRPr="00E265ED" w:rsidRDefault="00E265ED">
      <w:pPr>
        <w:rPr>
          <w:rFonts w:ascii="Verdana" w:hAnsi="Verdana"/>
          <w:sz w:val="20"/>
        </w:rPr>
      </w:pPr>
    </w:p>
    <w:p w:rsidR="00E265ED" w:rsidRDefault="00E265E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8. januar 2014 </w:t>
      </w:r>
    </w:p>
    <w:p w:rsidR="00E265ED" w:rsidRDefault="00E265ED">
      <w:pPr>
        <w:rPr>
          <w:rFonts w:ascii="Verdana" w:hAnsi="Verdana"/>
          <w:sz w:val="20"/>
        </w:rPr>
      </w:pPr>
    </w:p>
    <w:p w:rsidR="00E265ED" w:rsidRPr="00E265ED" w:rsidRDefault="00E265ED">
      <w:pPr>
        <w:rPr>
          <w:rFonts w:ascii="Verdana" w:hAnsi="Verdana"/>
          <w:b/>
        </w:rPr>
      </w:pPr>
      <w:r>
        <w:rPr>
          <w:rFonts w:ascii="Verdana" w:hAnsi="Verdana"/>
          <w:b/>
        </w:rPr>
        <w:t>VERDIHÅNDBOK ANSATTE HARSTAD KOMMUNE</w:t>
      </w:r>
    </w:p>
    <w:p w:rsidR="00D31CD0" w:rsidRDefault="00D31CD0" w:rsidP="00A6163B">
      <w:pPr>
        <w:spacing w:after="0" w:line="240" w:lineRule="auto"/>
        <w:rPr>
          <w:rFonts w:ascii="Verdana" w:eastAsia="Arial Unicode MS" w:hAnsi="Verdana" w:cs="Tahoma"/>
          <w:color w:val="000000"/>
          <w:sz w:val="20"/>
          <w:szCs w:val="24"/>
          <w:lang w:eastAsia="nb-NO"/>
        </w:rPr>
      </w:pPr>
      <w:r w:rsidRPr="00D31CD0">
        <w:rPr>
          <w:rFonts w:ascii="Verdana" w:eastAsia="Times New Roman" w:hAnsi="Verdana" w:cs="Times New Roman"/>
          <w:sz w:val="20"/>
          <w:szCs w:val="24"/>
          <w:lang w:eastAsia="nb-NO"/>
        </w:rPr>
        <w:t xml:space="preserve">Vårt lederprogram har til hensikt å utvikle vårt interne lederskap med fokus på å understøtte de resultatmål og føringer som fremkommer av vår VHP. </w:t>
      </w:r>
      <w:r w:rsidRPr="00D31CD0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Rådmann ønsker tettere oppfølging mot </w:t>
      </w:r>
      <w:r w:rsidR="001D26B9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og dialog med </w:t>
      </w:r>
      <w:r w:rsidRPr="00D31CD0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>enhetslede</w:t>
      </w:r>
      <w:r w:rsidR="001D26B9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>rne</w:t>
      </w:r>
      <w:r w:rsidRPr="00D31CD0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 for sammen å kunne styre mot en drift i balanse</w:t>
      </w:r>
      <w:r w:rsidR="001D26B9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, øke </w:t>
      </w:r>
      <w:r w:rsidRPr="00D31CD0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>vår evne til å iverksette tiltak i god tid</w:t>
      </w:r>
      <w:r w:rsidR="001D26B9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 og for å kunne yte best mulig tjenester med tilgjengelige ressurser</w:t>
      </w:r>
      <w:r w:rsidRPr="00D31CD0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. </w:t>
      </w:r>
    </w:p>
    <w:p w:rsidR="00D31CD0" w:rsidRDefault="00D31CD0" w:rsidP="00D31CD0">
      <w:pPr>
        <w:spacing w:before="100" w:beforeAutospacing="1" w:after="100" w:afterAutospacing="1" w:line="240" w:lineRule="auto"/>
        <w:rPr>
          <w:rFonts w:ascii="Verdana" w:eastAsia="Arial Unicode MS" w:hAnsi="Verdana" w:cs="Tahoma"/>
          <w:color w:val="000000"/>
          <w:sz w:val="20"/>
          <w:szCs w:val="24"/>
          <w:lang w:eastAsia="nb-NO"/>
        </w:rPr>
      </w:pPr>
      <w:r w:rsidRPr="00D31CD0">
        <w:rPr>
          <w:rFonts w:ascii="Verdana" w:eastAsia="Arial Unicode MS" w:hAnsi="Verdana" w:cs="Tahoma"/>
          <w:b/>
          <w:color w:val="000000"/>
          <w:sz w:val="20"/>
          <w:szCs w:val="24"/>
          <w:lang w:eastAsia="nb-NO"/>
        </w:rPr>
        <w:t>En viktig del av</w:t>
      </w:r>
      <w:r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 dette arbeidet blir derfor å innarbeide vår verdihåndbok ila første kvartal 2014. Dere har alle som ledere deltatt aktivt i dette arbeidet</w:t>
      </w:r>
      <w:r w:rsidR="007D75F8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 </w:t>
      </w:r>
      <w:r w:rsidR="001D26B9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med grunnlaget for verdihåndboka. </w:t>
      </w:r>
      <w:r w:rsidR="001D26B9">
        <w:rPr>
          <w:rFonts w:ascii="Verdana" w:eastAsia="Arial Unicode MS" w:hAnsi="Verdana" w:cs="Tahoma"/>
          <w:b/>
          <w:color w:val="000000"/>
          <w:sz w:val="20"/>
          <w:szCs w:val="24"/>
          <w:lang w:eastAsia="nb-NO"/>
        </w:rPr>
        <w:t>J</w:t>
      </w:r>
      <w:r w:rsidR="007D75F8" w:rsidRPr="00CD2819">
        <w:rPr>
          <w:rFonts w:ascii="Verdana" w:eastAsia="Arial Unicode MS" w:hAnsi="Verdana" w:cs="Tahoma"/>
          <w:b/>
          <w:color w:val="000000"/>
          <w:sz w:val="20"/>
          <w:szCs w:val="24"/>
          <w:lang w:eastAsia="nb-NO"/>
        </w:rPr>
        <w:t xml:space="preserve">eg har </w:t>
      </w:r>
      <w:r w:rsidR="001D26B9">
        <w:rPr>
          <w:rFonts w:ascii="Verdana" w:eastAsia="Arial Unicode MS" w:hAnsi="Verdana" w:cs="Tahoma"/>
          <w:b/>
          <w:color w:val="000000"/>
          <w:sz w:val="20"/>
          <w:szCs w:val="24"/>
          <w:lang w:eastAsia="nb-NO"/>
        </w:rPr>
        <w:t xml:space="preserve">overfor dere og </w:t>
      </w:r>
      <w:r w:rsidR="007D75F8" w:rsidRPr="00CD2819">
        <w:rPr>
          <w:rFonts w:ascii="Verdana" w:eastAsia="Arial Unicode MS" w:hAnsi="Verdana" w:cs="Tahoma"/>
          <w:b/>
          <w:color w:val="000000"/>
          <w:sz w:val="20"/>
          <w:szCs w:val="24"/>
          <w:lang w:eastAsia="nb-NO"/>
        </w:rPr>
        <w:t>hovedtillitsvalgte</w:t>
      </w:r>
      <w:r w:rsidR="004A4320" w:rsidRPr="00CD2819">
        <w:rPr>
          <w:rFonts w:ascii="Verdana" w:eastAsia="Arial Unicode MS" w:hAnsi="Verdana" w:cs="Tahoma"/>
          <w:b/>
          <w:color w:val="000000"/>
          <w:sz w:val="20"/>
          <w:szCs w:val="24"/>
          <w:lang w:eastAsia="nb-NO"/>
        </w:rPr>
        <w:t xml:space="preserve"> presentert vår </w:t>
      </w:r>
      <w:r w:rsidR="00A6163B" w:rsidRPr="00CD2819">
        <w:rPr>
          <w:rFonts w:ascii="Verdana" w:eastAsia="Arial Unicode MS" w:hAnsi="Verdana" w:cs="Tahoma"/>
          <w:b/>
          <w:color w:val="000000"/>
          <w:sz w:val="20"/>
          <w:szCs w:val="24"/>
          <w:lang w:eastAsia="nb-NO"/>
        </w:rPr>
        <w:t>verdihåndbok</w:t>
      </w:r>
      <w:r w:rsidR="00604AAD" w:rsidRPr="00CD2819">
        <w:rPr>
          <w:rFonts w:ascii="Verdana" w:eastAsia="Arial Unicode MS" w:hAnsi="Verdana" w:cs="Tahoma"/>
          <w:b/>
          <w:color w:val="000000"/>
          <w:sz w:val="20"/>
          <w:szCs w:val="24"/>
          <w:lang w:eastAsia="nb-NO"/>
        </w:rPr>
        <w:t xml:space="preserve"> hvor vi </w:t>
      </w:r>
      <w:r w:rsidR="00604AAD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>ønsker</w:t>
      </w:r>
      <w:r w:rsidR="004A4320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 </w:t>
      </w:r>
      <w:r w:rsidR="00604AAD">
        <w:rPr>
          <w:rFonts w:ascii="Verdana" w:eastAsia="Arial Unicode MS" w:hAnsi="Verdana" w:cs="Tahoma"/>
          <w:color w:val="000000"/>
          <w:sz w:val="20"/>
          <w:szCs w:val="24"/>
          <w:lang w:eastAsia="nb-NO"/>
        </w:rPr>
        <w:t xml:space="preserve">følgende: </w:t>
      </w:r>
    </w:p>
    <w:p w:rsidR="00795111" w:rsidRPr="00795111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Nå frem til kjernefunksjonen og kunne</w:t>
      </w:r>
      <w:r w:rsidR="002A6EFC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 xml:space="preserve"> </w:t>
      </w: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influere på denne</w:t>
      </w:r>
    </w:p>
    <w:p w:rsidR="00795111" w:rsidRPr="00795111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Bedre kommunikasjonen</w:t>
      </w:r>
    </w:p>
    <w:p w:rsidR="00795111" w:rsidRPr="00795111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Bedre internt samarbeid</w:t>
      </w:r>
    </w:p>
    <w:p w:rsidR="00795111" w:rsidRPr="00795111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Reduksjon av konfliktnivået</w:t>
      </w:r>
    </w:p>
    <w:p w:rsidR="00795111" w:rsidRPr="00795111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Bedre intern tilpasning mellom avdelinger</w:t>
      </w:r>
    </w:p>
    <w:p w:rsidR="00795111" w:rsidRPr="00795111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Bedre ekstern tilpasning til brukernes behov</w:t>
      </w:r>
    </w:p>
    <w:p w:rsidR="00795111" w:rsidRPr="00795111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Delegering og selvstyring</w:t>
      </w:r>
    </w:p>
    <w:p w:rsidR="00795111" w:rsidRPr="00795111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Personlig utvikling</w:t>
      </w:r>
    </w:p>
    <w:p w:rsidR="00795111" w:rsidRPr="004A4320" w:rsidRDefault="00795111" w:rsidP="002A6EFC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511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Kreativitet og innovasjonskapasitet i alle ledd</w:t>
      </w:r>
      <w:r w:rsidR="004A4320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br/>
      </w:r>
    </w:p>
    <w:p w:rsidR="004A4320" w:rsidRDefault="004A4320" w:rsidP="004A4320">
      <w:pPr>
        <w:rPr>
          <w:rFonts w:ascii="Verdana" w:hAnsi="Verdana"/>
          <w:sz w:val="20"/>
          <w:szCs w:val="20"/>
        </w:rPr>
      </w:pPr>
      <w:r w:rsidRPr="004A4320">
        <w:rPr>
          <w:rFonts w:ascii="Verdana" w:hAnsi="Verdana"/>
          <w:b/>
          <w:sz w:val="20"/>
          <w:szCs w:val="20"/>
        </w:rPr>
        <w:t>Dette er et kollektivt verktøy</w:t>
      </w:r>
      <w:r w:rsidRPr="004A4320">
        <w:rPr>
          <w:rFonts w:ascii="Verdana" w:hAnsi="Verdana"/>
          <w:sz w:val="20"/>
          <w:szCs w:val="20"/>
        </w:rPr>
        <w:t xml:space="preserve"> for påvirkning av ansattes holdninger, atferd og ambisjoner gjennom</w:t>
      </w:r>
      <w:r>
        <w:rPr>
          <w:rFonts w:ascii="Verdana" w:hAnsi="Verdana"/>
          <w:sz w:val="20"/>
          <w:szCs w:val="20"/>
        </w:rPr>
        <w:t>:</w:t>
      </w:r>
      <w:r w:rsidRPr="004A4320">
        <w:rPr>
          <w:rFonts w:ascii="Verdana" w:hAnsi="Verdana"/>
          <w:sz w:val="20"/>
          <w:szCs w:val="20"/>
        </w:rPr>
        <w:t xml:space="preserve"> </w:t>
      </w:r>
    </w:p>
    <w:p w:rsidR="004A4320" w:rsidRPr="004A4320" w:rsidRDefault="004A4320" w:rsidP="004A432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A4320">
        <w:rPr>
          <w:rFonts w:ascii="Verdana" w:eastAsiaTheme="minorEastAsia" w:hAnsi="Verdana"/>
          <w:sz w:val="20"/>
          <w:szCs w:val="20"/>
        </w:rPr>
        <w:t>forsterkning, endring eller avlæring av eksisterende</w:t>
      </w:r>
      <w:r w:rsidRPr="004A4320">
        <w:rPr>
          <w:rFonts w:ascii="Verdana" w:hAnsi="Verdana"/>
          <w:sz w:val="20"/>
          <w:szCs w:val="20"/>
        </w:rPr>
        <w:t xml:space="preserve"> </w:t>
      </w:r>
      <w:r w:rsidRPr="004A4320">
        <w:rPr>
          <w:rFonts w:ascii="Verdana" w:eastAsiaTheme="minorEastAsia" w:hAnsi="Verdana"/>
          <w:sz w:val="20"/>
          <w:szCs w:val="20"/>
        </w:rPr>
        <w:t>verdier</w:t>
      </w:r>
    </w:p>
    <w:p w:rsidR="004A4320" w:rsidRPr="004A4320" w:rsidRDefault="004A4320" w:rsidP="004A432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A4320">
        <w:rPr>
          <w:rFonts w:ascii="Verdana" w:eastAsiaTheme="minorEastAsia" w:hAnsi="Verdana"/>
          <w:sz w:val="20"/>
          <w:szCs w:val="20"/>
        </w:rPr>
        <w:t xml:space="preserve">utforming av nye verdier </w:t>
      </w:r>
    </w:p>
    <w:p w:rsidR="004A4320" w:rsidRPr="004A4320" w:rsidRDefault="004A4320" w:rsidP="004A432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A4320">
        <w:rPr>
          <w:rFonts w:ascii="Verdana" w:eastAsiaTheme="minorEastAsia" w:hAnsi="Verdana"/>
          <w:sz w:val="20"/>
          <w:szCs w:val="20"/>
        </w:rPr>
        <w:t>formidling av verdier til hele organisasjonen</w:t>
      </w:r>
    </w:p>
    <w:p w:rsidR="004A4320" w:rsidRPr="004A4320" w:rsidRDefault="004A4320" w:rsidP="004A432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A4320">
        <w:rPr>
          <w:rFonts w:ascii="Verdana" w:eastAsiaTheme="minorEastAsia" w:hAnsi="Verdana"/>
          <w:sz w:val="20"/>
          <w:szCs w:val="20"/>
        </w:rPr>
        <w:t xml:space="preserve">vedlikehold av verdiene </w:t>
      </w:r>
    </w:p>
    <w:p w:rsidR="004A4320" w:rsidRPr="004A4320" w:rsidRDefault="004A4320" w:rsidP="004A432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A4320">
        <w:rPr>
          <w:rFonts w:ascii="Verdana" w:eastAsiaTheme="minorEastAsia" w:hAnsi="Verdana"/>
          <w:sz w:val="20"/>
          <w:szCs w:val="20"/>
        </w:rPr>
        <w:t>bevisst atferd fra lederskapets side</w:t>
      </w:r>
    </w:p>
    <w:p w:rsidR="004A4320" w:rsidRDefault="004A4320" w:rsidP="004A4320">
      <w:pPr>
        <w:rPr>
          <w:rFonts w:ascii="Verdana" w:hAnsi="Verdana"/>
          <w:sz w:val="20"/>
          <w:szCs w:val="20"/>
        </w:rPr>
      </w:pPr>
    </w:p>
    <w:p w:rsidR="004A4320" w:rsidRDefault="004A4320" w:rsidP="004A4320">
      <w:pPr>
        <w:rPr>
          <w:rFonts w:ascii="Verdana" w:hAnsi="Verdana"/>
          <w:sz w:val="20"/>
          <w:szCs w:val="20"/>
        </w:rPr>
      </w:pPr>
      <w:r w:rsidRPr="004A4320">
        <w:rPr>
          <w:rFonts w:ascii="Verdana" w:hAnsi="Verdana"/>
          <w:b/>
          <w:sz w:val="20"/>
          <w:szCs w:val="20"/>
        </w:rPr>
        <w:t>Rådmann ønsker</w:t>
      </w:r>
      <w:r>
        <w:rPr>
          <w:rFonts w:ascii="Verdana" w:hAnsi="Verdana"/>
          <w:sz w:val="20"/>
          <w:szCs w:val="20"/>
        </w:rPr>
        <w:t xml:space="preserve"> å gi følgende veiledning</w:t>
      </w:r>
      <w:r w:rsidR="005A4DE3">
        <w:rPr>
          <w:rFonts w:ascii="Verdana" w:hAnsi="Verdana"/>
          <w:sz w:val="20"/>
          <w:szCs w:val="20"/>
        </w:rPr>
        <w:t xml:space="preserve"> til leder/avdelingsleder</w:t>
      </w:r>
      <w:r w:rsidR="005E46BE">
        <w:rPr>
          <w:rFonts w:ascii="Verdana" w:hAnsi="Verdana"/>
          <w:sz w:val="20"/>
          <w:szCs w:val="20"/>
        </w:rPr>
        <w:t xml:space="preserve">: </w:t>
      </w:r>
    </w:p>
    <w:p w:rsidR="004A4320" w:rsidRDefault="005E46BE" w:rsidP="004A4320">
      <w:pPr>
        <w:pStyle w:val="Listeavsnit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fordel</w:t>
      </w:r>
      <w:r w:rsidR="004A4320">
        <w:rPr>
          <w:rFonts w:ascii="Verdana" w:hAnsi="Verdana"/>
          <w:sz w:val="20"/>
          <w:szCs w:val="20"/>
        </w:rPr>
        <w:t xml:space="preserve"> en verdihån</w:t>
      </w:r>
      <w:r>
        <w:rPr>
          <w:rFonts w:ascii="Verdana" w:hAnsi="Verdana"/>
          <w:sz w:val="20"/>
          <w:szCs w:val="20"/>
        </w:rPr>
        <w:t xml:space="preserve">dbok til hver ansatt (sendes ut </w:t>
      </w:r>
      <w:r w:rsidR="004A4320">
        <w:rPr>
          <w:rFonts w:ascii="Verdana" w:hAnsi="Verdana"/>
          <w:sz w:val="20"/>
          <w:szCs w:val="20"/>
        </w:rPr>
        <w:t>ila uke 2)</w:t>
      </w:r>
    </w:p>
    <w:p w:rsidR="004A4320" w:rsidRDefault="005E46BE" w:rsidP="004A4320">
      <w:pPr>
        <w:pStyle w:val="Listeavsnit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samle</w:t>
      </w:r>
      <w:r w:rsidR="004A4320">
        <w:rPr>
          <w:rFonts w:ascii="Verdana" w:hAnsi="Verdana"/>
          <w:sz w:val="20"/>
          <w:szCs w:val="20"/>
        </w:rPr>
        <w:t xml:space="preserve"> dine ansatte og snakker gjennom hva verdiene betyr og hva vi ønsker at de skal bidra</w:t>
      </w:r>
      <w:r>
        <w:rPr>
          <w:rFonts w:ascii="Verdana" w:hAnsi="Verdana"/>
          <w:sz w:val="20"/>
          <w:szCs w:val="20"/>
        </w:rPr>
        <w:t xml:space="preserve"> til</w:t>
      </w:r>
    </w:p>
    <w:p w:rsidR="005E46BE" w:rsidRDefault="005E46BE" w:rsidP="004A4320">
      <w:pPr>
        <w:pStyle w:val="Listeavsnit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enkelte ansatte må selv reflektere over hva en selv kan gjøre og hva enheten kan gjøre for at verdiene skal føre til stadig bedre tjenester til byens befolkning </w:t>
      </w:r>
      <w:r w:rsidR="00B374AC">
        <w:rPr>
          <w:rFonts w:ascii="Verdana" w:hAnsi="Verdana"/>
          <w:sz w:val="20"/>
          <w:szCs w:val="20"/>
        </w:rPr>
        <w:t xml:space="preserve">og knytte det </w:t>
      </w:r>
      <w:r>
        <w:rPr>
          <w:rFonts w:ascii="Verdana" w:hAnsi="Verdana"/>
          <w:sz w:val="20"/>
          <w:szCs w:val="20"/>
        </w:rPr>
        <w:t>til adferd, grep og tiltak</w:t>
      </w:r>
    </w:p>
    <w:p w:rsidR="005E46BE" w:rsidRPr="004A4320" w:rsidRDefault="005E46BE" w:rsidP="004A4320">
      <w:pPr>
        <w:pStyle w:val="Listeavsnit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etter </w:t>
      </w:r>
      <w:r w:rsidR="005A4DE3">
        <w:rPr>
          <w:rFonts w:ascii="Verdana" w:hAnsi="Verdana"/>
          <w:sz w:val="20"/>
          <w:szCs w:val="20"/>
        </w:rPr>
        <w:t>tid til egen refleksjon</w:t>
      </w:r>
      <w:r w:rsidR="00EE156F">
        <w:rPr>
          <w:rFonts w:ascii="Verdana" w:hAnsi="Verdana"/>
          <w:sz w:val="20"/>
          <w:szCs w:val="20"/>
        </w:rPr>
        <w:t>,</w:t>
      </w:r>
      <w:r w:rsidR="005A4DE3">
        <w:rPr>
          <w:rFonts w:ascii="Verdana" w:hAnsi="Verdana"/>
          <w:sz w:val="20"/>
          <w:szCs w:val="20"/>
        </w:rPr>
        <w:t xml:space="preserve"> (</w:t>
      </w:r>
      <w:r w:rsidR="00665F62">
        <w:rPr>
          <w:rFonts w:ascii="Verdana" w:hAnsi="Verdana"/>
          <w:sz w:val="20"/>
          <w:szCs w:val="20"/>
        </w:rPr>
        <w:t xml:space="preserve">ca </w:t>
      </w:r>
      <w:r w:rsidR="005A4DE3">
        <w:rPr>
          <w:rFonts w:ascii="Verdana" w:hAnsi="Verdana"/>
          <w:sz w:val="20"/>
          <w:szCs w:val="20"/>
        </w:rPr>
        <w:t xml:space="preserve">2 uker +/-) samles enheten og leder/avdelingsleder snakker gjennom med sine ansatte og lister opp hva de må </w:t>
      </w:r>
      <w:r w:rsidR="005A4DE3">
        <w:rPr>
          <w:rFonts w:ascii="Verdana" w:hAnsi="Verdana"/>
          <w:sz w:val="20"/>
          <w:szCs w:val="20"/>
        </w:rPr>
        <w:lastRenderedPageBreak/>
        <w:t xml:space="preserve">gjøre av endringer </w:t>
      </w:r>
      <w:proofErr w:type="spellStart"/>
      <w:r w:rsidR="005A4DE3">
        <w:rPr>
          <w:rFonts w:ascii="Verdana" w:hAnsi="Verdana"/>
          <w:sz w:val="20"/>
          <w:szCs w:val="20"/>
        </w:rPr>
        <w:t>ifh</w:t>
      </w:r>
      <w:proofErr w:type="spellEnd"/>
      <w:r w:rsidR="005A4DE3">
        <w:rPr>
          <w:rFonts w:ascii="Verdana" w:hAnsi="Verdana"/>
          <w:sz w:val="20"/>
          <w:szCs w:val="20"/>
        </w:rPr>
        <w:t xml:space="preserve"> til adferd, grep og tiltak innenfor eget tjenesteområde for å kunne etterleve verdihåndbokens intensjon.</w:t>
      </w:r>
    </w:p>
    <w:p w:rsidR="004A4320" w:rsidRDefault="004A4320" w:rsidP="004A4320">
      <w:pPr>
        <w:rPr>
          <w:rFonts w:ascii="Verdana" w:hAnsi="Verdana"/>
          <w:sz w:val="20"/>
          <w:szCs w:val="20"/>
        </w:rPr>
      </w:pPr>
    </w:p>
    <w:p w:rsidR="00DE4CEB" w:rsidRDefault="00DE4CEB" w:rsidP="00B6079E">
      <w:pP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  <w:r w:rsidRPr="00B6079E">
        <w:rPr>
          <w:rFonts w:ascii="Verdana" w:hAnsi="Verdana"/>
          <w:b/>
          <w:sz w:val="20"/>
          <w:szCs w:val="20"/>
        </w:rPr>
        <w:t>Verdienes grunnleggende effekt</w:t>
      </w:r>
      <w:r>
        <w:rPr>
          <w:rFonts w:ascii="Verdana" w:hAnsi="Verdana"/>
          <w:sz w:val="20"/>
          <w:szCs w:val="20"/>
        </w:rPr>
        <w:t xml:space="preserve"> skal t</w:t>
      </w:r>
      <w:r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ydeliggjør lederskapet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 </w:t>
      </w:r>
      <w:r w:rsidR="001D26B9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og gi våre godt over 2000 ansatte en felles plattform for utøvelse av sin tjeneste i og for Harstad kommune som </w:t>
      </w:r>
      <w:r w:rsidR="008A4AE8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går </w:t>
      </w:r>
      <w:r w:rsidR="001D26B9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utover det mål, rammer, </w:t>
      </w:r>
      <w:r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regler og lover kan</w:t>
      </w:r>
      <w:r w:rsidR="00B6079E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. </w:t>
      </w:r>
      <w:r w:rsidR="001D26B9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Verdiene skal tjene som ryggmargsreflekser hos ledere og ansatte på hva som er </w:t>
      </w:r>
      <w:r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rett og galt</w:t>
      </w:r>
      <w:r w:rsidR="001D26B9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 i ul</w:t>
      </w:r>
      <w:r w:rsidR="005E4D2D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i</w:t>
      </w:r>
      <w:r w:rsidR="001D26B9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ke situasjoner, både internt og eksternt.</w:t>
      </w:r>
    </w:p>
    <w:p w:rsidR="00DE4CEB" w:rsidRDefault="00B6079E" w:rsidP="00B6079E">
      <w:pP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Det vil også u</w:t>
      </w:r>
      <w:r w:rsidR="00DE4CEB"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tgjør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e </w:t>
      </w:r>
      <w:r w:rsidR="00DE4CEB"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bedre og mer omfattende standard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er</w:t>
      </w:r>
      <w:r w:rsidR="00DE4CEB"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/kriterier </w:t>
      </w:r>
      <w:r w:rsidR="008A4AE8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for </w:t>
      </w:r>
      <w:r w:rsidR="000C16C1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vurdering </w:t>
      </w:r>
      <w:r w:rsidR="008A4AE8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handlinger og den praksis som utøves både </w:t>
      </w:r>
      <w:r w:rsidR="000C16C1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av </w:t>
      </w:r>
      <w:r w:rsidR="008A4AE8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enkelt ansatte og organisatoriske enheter.</w:t>
      </w:r>
      <w:r w:rsidR="00665F62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 </w:t>
      </w:r>
      <w:r w:rsidR="008A4AE8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 </w:t>
      </w:r>
    </w:p>
    <w:p w:rsidR="00DE4CEB" w:rsidRPr="00665F62" w:rsidRDefault="00B6079E" w:rsidP="00B6079E">
      <w:pPr>
        <w:rPr>
          <w:rFonts w:ascii="Verdana" w:eastAsiaTheme="minorEastAsia" w:hAnsi="Verdana"/>
          <w:color w:val="000000" w:themeColor="text1"/>
          <w:kern w:val="24"/>
          <w:sz w:val="20"/>
          <w:szCs w:val="20"/>
          <w:u w:val="single"/>
          <w:lang w:eastAsia="nb-NO"/>
        </w:rPr>
      </w:pPr>
      <w:r w:rsidRPr="00665F62">
        <w:rPr>
          <w:rFonts w:ascii="Verdana" w:eastAsiaTheme="minorEastAsia" w:hAnsi="Verdana"/>
          <w:color w:val="000000" w:themeColor="text1"/>
          <w:kern w:val="24"/>
          <w:sz w:val="20"/>
          <w:szCs w:val="20"/>
          <w:u w:val="single"/>
          <w:lang w:eastAsia="nb-NO"/>
        </w:rPr>
        <w:t>Andre viktige effekter er:</w:t>
      </w:r>
    </w:p>
    <w:p w:rsidR="00DE4CEB" w:rsidRPr="00DE4CEB" w:rsidRDefault="00DE4CEB" w:rsidP="00DE4CEB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Etablerer ambisjoner blant ansatte</w:t>
      </w:r>
    </w:p>
    <w:p w:rsidR="00DE4CEB" w:rsidRPr="00DE4CEB" w:rsidRDefault="00DE4CEB" w:rsidP="00DE4CEB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Øker refleksjons- og bevissthetsnivået i daglig arbeid</w:t>
      </w:r>
    </w:p>
    <w:p w:rsidR="00DE4CEB" w:rsidRPr="00DE4CEB" w:rsidRDefault="00DE4CEB" w:rsidP="00DE4CEB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Etablerer en fellesfrekvens for kommunikasjonen</w:t>
      </w:r>
    </w:p>
    <w:p w:rsidR="00DE4CEB" w:rsidRPr="00B6079E" w:rsidRDefault="00DE4CEB" w:rsidP="00DE4CEB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DE4CEB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Forener organisasjonen</w:t>
      </w:r>
    </w:p>
    <w:p w:rsidR="00DE4CEB" w:rsidRDefault="00DE4CEB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DE4CEB" w:rsidRDefault="00DE4CEB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DE4CEB" w:rsidRDefault="00DE4CEB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DE4CEB" w:rsidRDefault="00DE4CEB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DE4CEB" w:rsidRDefault="00B6079E" w:rsidP="00B6079E">
      <w:pPr>
        <w:spacing w:after="0" w:line="240" w:lineRule="auto"/>
        <w:contextualSpacing/>
        <w:rPr>
          <w:rFonts w:ascii="Verdana" w:eastAsiaTheme="minorEastAsia" w:hAnsi="Verdana"/>
          <w:b/>
          <w:color w:val="000000" w:themeColor="text1"/>
          <w:kern w:val="24"/>
          <w:sz w:val="20"/>
          <w:szCs w:val="20"/>
          <w:lang w:eastAsia="nb-NO"/>
        </w:rPr>
      </w:pPr>
      <w:r w:rsidRPr="00B6079E">
        <w:rPr>
          <w:rFonts w:ascii="Verdana" w:eastAsiaTheme="minorEastAsia" w:hAnsi="Verdana"/>
          <w:b/>
          <w:color w:val="000000" w:themeColor="text1"/>
          <w:kern w:val="24"/>
          <w:sz w:val="20"/>
          <w:szCs w:val="20"/>
          <w:lang w:eastAsia="nb-NO"/>
        </w:rPr>
        <w:t>Praktiske forhold</w:t>
      </w:r>
    </w:p>
    <w:p w:rsidR="00B6079E" w:rsidRDefault="00B6079E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Enhetsleder er ansvarlig for å gjennomføre dette arbeidet og vil gjennom sine avdelingsledere bringe dette ut og knytte det til hver enkelt ansatt</w:t>
      </w:r>
      <w:r w:rsidR="008A4AE8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 og personalgruppe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. De ulike enheter</w:t>
      </w:r>
      <w:r w:rsidR="00E265ED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 bør 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drøfte hvordan dette rent praktisk bør gjøres og gjerne drøfte det i kvalitetsutvalg</w:t>
      </w:r>
      <w:r w:rsidR="00E265ED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et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, slik at</w:t>
      </w:r>
      <w:r w:rsidR="00E265ED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 xml:space="preserve"> tjenesteområdet har et omforent bilde av en god prosess for gjennomføring.</w:t>
      </w: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Lykke til med arbeidet.</w:t>
      </w: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Harstad 8. januar 2014</w:t>
      </w: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Mvh</w:t>
      </w: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E156F" w:rsidRDefault="00EE156F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</w:p>
    <w:p w:rsidR="00E265ED" w:rsidRPr="00B6079E" w:rsidRDefault="00E265ED" w:rsidP="00B6079E">
      <w:pPr>
        <w:spacing w:after="0" w:line="240" w:lineRule="auto"/>
        <w:contextualSpacing/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</w:pP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t>Hugo Thode Hansen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b-NO"/>
        </w:rPr>
        <w:br/>
        <w:t>rådmann</w:t>
      </w:r>
    </w:p>
    <w:p w:rsidR="00DE4CEB" w:rsidRPr="00DE4CEB" w:rsidRDefault="00DE4CEB" w:rsidP="00B6079E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DE4CEB" w:rsidRPr="004A4320" w:rsidRDefault="00DE4CEB" w:rsidP="004A4320">
      <w:pPr>
        <w:rPr>
          <w:rFonts w:ascii="Verdana" w:hAnsi="Verdana"/>
          <w:sz w:val="20"/>
          <w:szCs w:val="20"/>
        </w:rPr>
      </w:pPr>
    </w:p>
    <w:p w:rsidR="00795111" w:rsidRPr="00D31CD0" w:rsidRDefault="00795111" w:rsidP="00D31CD0">
      <w:pPr>
        <w:spacing w:before="100" w:beforeAutospacing="1" w:after="100" w:afterAutospacing="1" w:line="240" w:lineRule="auto"/>
        <w:rPr>
          <w:rFonts w:ascii="Verdana" w:eastAsia="Arial Unicode MS" w:hAnsi="Verdana" w:cs="Tahoma"/>
          <w:color w:val="000000"/>
          <w:sz w:val="20"/>
          <w:szCs w:val="24"/>
          <w:lang w:eastAsia="nb-NO"/>
        </w:rPr>
      </w:pPr>
    </w:p>
    <w:sectPr w:rsidR="00795111" w:rsidRPr="00D3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DD"/>
    <w:multiLevelType w:val="hybridMultilevel"/>
    <w:tmpl w:val="1A06B074"/>
    <w:lvl w:ilvl="0" w:tplc="C4C65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2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AA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EC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86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2C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6A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C138B"/>
    <w:multiLevelType w:val="hybridMultilevel"/>
    <w:tmpl w:val="B994E822"/>
    <w:lvl w:ilvl="0" w:tplc="C4C65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1151"/>
    <w:multiLevelType w:val="hybridMultilevel"/>
    <w:tmpl w:val="56A8BC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800CB"/>
    <w:multiLevelType w:val="hybridMultilevel"/>
    <w:tmpl w:val="3878E4DC"/>
    <w:lvl w:ilvl="0" w:tplc="65BC3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AE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A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2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A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0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A3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CB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A00113"/>
    <w:multiLevelType w:val="hybridMultilevel"/>
    <w:tmpl w:val="AFA86396"/>
    <w:lvl w:ilvl="0" w:tplc="C4C65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54"/>
    <w:rsid w:val="000C16C1"/>
    <w:rsid w:val="001D26B9"/>
    <w:rsid w:val="00247A54"/>
    <w:rsid w:val="002A6EFC"/>
    <w:rsid w:val="004A4320"/>
    <w:rsid w:val="005A4DE3"/>
    <w:rsid w:val="005B1144"/>
    <w:rsid w:val="005E46BE"/>
    <w:rsid w:val="005E4D2D"/>
    <w:rsid w:val="00604AAD"/>
    <w:rsid w:val="00665F62"/>
    <w:rsid w:val="00795111"/>
    <w:rsid w:val="007D75F8"/>
    <w:rsid w:val="008613F8"/>
    <w:rsid w:val="008A4AE8"/>
    <w:rsid w:val="00A6163B"/>
    <w:rsid w:val="00B374AC"/>
    <w:rsid w:val="00B6079E"/>
    <w:rsid w:val="00CD2819"/>
    <w:rsid w:val="00D15220"/>
    <w:rsid w:val="00D31CD0"/>
    <w:rsid w:val="00DE4CEB"/>
    <w:rsid w:val="00E265ED"/>
    <w:rsid w:val="00E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CD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95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D2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CD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95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D2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Jenssen</dc:creator>
  <cp:lastModifiedBy>Birgitte Hangeland</cp:lastModifiedBy>
  <cp:revision>2</cp:revision>
  <cp:lastPrinted>2014-01-02T12:57:00Z</cp:lastPrinted>
  <dcterms:created xsi:type="dcterms:W3CDTF">2014-01-10T14:25:00Z</dcterms:created>
  <dcterms:modified xsi:type="dcterms:W3CDTF">2014-01-10T14:25:00Z</dcterms:modified>
</cp:coreProperties>
</file>